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DE" w:rsidRDefault="001D59DE" w:rsidP="001D59DE">
      <w:pPr>
        <w:spacing w:after="0"/>
        <w:jc w:val="center"/>
      </w:pPr>
      <w:r>
        <w:t>IN THE UNITED STATES BANKRUPTCY COURT</w:t>
      </w:r>
    </w:p>
    <w:p w:rsidR="001D59DE" w:rsidRDefault="001D59DE" w:rsidP="001D59DE">
      <w:pPr>
        <w:spacing w:after="0"/>
        <w:jc w:val="center"/>
      </w:pPr>
      <w:r>
        <w:t>FOR THE SOUTHERN DISTRICT OF ALABAMA</w:t>
      </w:r>
    </w:p>
    <w:p w:rsidR="001D59DE" w:rsidRDefault="001D59DE" w:rsidP="001D59DE">
      <w:pPr>
        <w:spacing w:after="0"/>
      </w:pPr>
    </w:p>
    <w:p w:rsidR="001D59DE" w:rsidRDefault="001D59DE" w:rsidP="001D59DE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F57492" w:rsidP="001D59DE">
      <w:pPr>
        <w:spacing w:after="0"/>
      </w:pPr>
      <w:r>
        <w:t>_____________________,</w:t>
      </w:r>
      <w:r w:rsidR="001D59DE">
        <w:tab/>
      </w:r>
      <w:r w:rsidR="001D59DE">
        <w:tab/>
      </w:r>
      <w:r w:rsidR="001D59DE">
        <w:tab/>
        <w:t>)</w:t>
      </w:r>
      <w:r w:rsidR="001D59DE">
        <w:tab/>
        <w:t>Case No. _______________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  <w:t>Debtor</w:t>
      </w:r>
      <w:r w:rsidR="00400192">
        <w:t>(s)</w:t>
      </w:r>
      <w:r w:rsidR="008B4FE2">
        <w:t>.</w:t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bookmarkStart w:id="0" w:name="_GoBack"/>
    </w:p>
    <w:bookmarkEnd w:id="0"/>
    <w:p w:rsidR="00A77100" w:rsidRDefault="00A77100" w:rsidP="00400192">
      <w:pPr>
        <w:spacing w:after="0" w:line="240" w:lineRule="auto"/>
        <w:jc w:val="center"/>
      </w:pPr>
    </w:p>
    <w:p w:rsidR="00CD6087" w:rsidRDefault="002D1F06" w:rsidP="00400192">
      <w:pPr>
        <w:spacing w:after="0" w:line="240" w:lineRule="auto"/>
        <w:jc w:val="center"/>
        <w:rPr>
          <w:u w:val="single"/>
        </w:rPr>
      </w:pPr>
      <w:r w:rsidRPr="001449CD">
        <w:rPr>
          <w:u w:val="single"/>
        </w:rPr>
        <w:t xml:space="preserve">ORDER </w:t>
      </w:r>
      <w:r w:rsidR="00C87B51">
        <w:rPr>
          <w:u w:val="single"/>
        </w:rPr>
        <w:t>ON</w:t>
      </w:r>
      <w:r w:rsidRPr="001449CD">
        <w:rPr>
          <w:u w:val="single"/>
        </w:rPr>
        <w:t xml:space="preserve"> </w:t>
      </w:r>
      <w:r w:rsidR="00CD6087">
        <w:rPr>
          <w:u w:val="single"/>
        </w:rPr>
        <w:t xml:space="preserve">COMBINED </w:t>
      </w:r>
      <w:r w:rsidR="001D59DE" w:rsidRPr="001449CD">
        <w:rPr>
          <w:u w:val="single"/>
        </w:rPr>
        <w:t xml:space="preserve">MOTION TO AVOID </w:t>
      </w:r>
      <w:r w:rsidR="00653F80" w:rsidRPr="001449CD">
        <w:rPr>
          <w:u w:val="single"/>
        </w:rPr>
        <w:t>NON</w:t>
      </w:r>
      <w:r w:rsidR="001449CD" w:rsidRPr="001449CD">
        <w:rPr>
          <w:u w:val="single"/>
        </w:rPr>
        <w:t xml:space="preserve">POSSESSORY, </w:t>
      </w:r>
    </w:p>
    <w:p w:rsidR="00CD6087" w:rsidRDefault="001449CD" w:rsidP="00400192">
      <w:pPr>
        <w:spacing w:after="0" w:line="240" w:lineRule="auto"/>
        <w:jc w:val="center"/>
        <w:rPr>
          <w:u w:val="single"/>
        </w:rPr>
      </w:pPr>
      <w:r w:rsidRPr="001449CD">
        <w:rPr>
          <w:u w:val="single"/>
        </w:rPr>
        <w:t>NONPURCHASE-</w:t>
      </w:r>
      <w:r w:rsidR="000B356A">
        <w:rPr>
          <w:u w:val="single"/>
        </w:rPr>
        <w:t>MONEY SECURITY INTEREST</w:t>
      </w:r>
      <w:r w:rsidR="00C87B51">
        <w:rPr>
          <w:u w:val="single"/>
        </w:rPr>
        <w:t xml:space="preserve">, MOTION FOR VALUATION, </w:t>
      </w:r>
    </w:p>
    <w:p w:rsidR="001D59DE" w:rsidRPr="001449CD" w:rsidRDefault="00C87B51" w:rsidP="004001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AND OBJECTION TO CLAIM</w:t>
      </w:r>
      <w:r w:rsidR="001D59DE" w:rsidRPr="001449CD">
        <w:rPr>
          <w:u w:val="single"/>
        </w:rPr>
        <w:t xml:space="preserve"> </w:t>
      </w:r>
    </w:p>
    <w:p w:rsidR="00400192" w:rsidRDefault="00400192" w:rsidP="00400192">
      <w:pPr>
        <w:spacing w:after="0" w:line="240" w:lineRule="auto"/>
        <w:jc w:val="center"/>
      </w:pPr>
    </w:p>
    <w:p w:rsidR="00576205" w:rsidRDefault="001D59DE" w:rsidP="00B450FC">
      <w:pPr>
        <w:spacing w:after="0" w:line="480" w:lineRule="auto"/>
      </w:pPr>
      <w:r>
        <w:tab/>
      </w:r>
      <w:r w:rsidR="002D1F06">
        <w:t>This c</w:t>
      </w:r>
      <w:r w:rsidR="00CD6087">
        <w:t>ase is before the c</w:t>
      </w:r>
      <w:r w:rsidR="000B356A">
        <w:t xml:space="preserve">ourt on the </w:t>
      </w:r>
      <w:r w:rsidR="00553E68">
        <w:t xml:space="preserve">combined </w:t>
      </w:r>
      <w:r w:rsidR="000B356A">
        <w:t>m</w:t>
      </w:r>
      <w:r w:rsidR="002D1F06">
        <w:t>otion</w:t>
      </w:r>
      <w:r w:rsidR="00F82709">
        <w:t xml:space="preserve"> </w:t>
      </w:r>
      <w:r w:rsidR="00844E81">
        <w:t xml:space="preserve">by debtor(s) </w:t>
      </w:r>
      <w:r w:rsidR="002D1F06">
        <w:t>t</w:t>
      </w:r>
      <w:r w:rsidR="001449CD">
        <w:t xml:space="preserve">o </w:t>
      </w:r>
      <w:r w:rsidR="000B356A">
        <w:t>a</w:t>
      </w:r>
      <w:r w:rsidR="001449CD">
        <w:t xml:space="preserve">void the </w:t>
      </w:r>
      <w:r w:rsidR="000B356A">
        <w:t>n</w:t>
      </w:r>
      <w:r w:rsidR="001449CD">
        <w:t>onpos</w:t>
      </w:r>
      <w:r w:rsidR="00F82709">
        <w:t>s</w:t>
      </w:r>
      <w:r w:rsidR="001449CD">
        <w:t xml:space="preserve">essory, </w:t>
      </w:r>
      <w:r w:rsidR="000B356A">
        <w:t>nonpurchase-m</w:t>
      </w:r>
      <w:r w:rsidR="001449CD">
        <w:t xml:space="preserve">oney </w:t>
      </w:r>
      <w:r w:rsidR="000B356A">
        <w:t>s</w:t>
      </w:r>
      <w:r w:rsidR="001449CD">
        <w:t xml:space="preserve">ecurity </w:t>
      </w:r>
      <w:r w:rsidR="000B356A">
        <w:t>i</w:t>
      </w:r>
      <w:r w:rsidR="001449CD">
        <w:t>nterest of</w:t>
      </w:r>
      <w:r w:rsidR="000B356A">
        <w:t xml:space="preserve"> ________________</w:t>
      </w:r>
      <w:r w:rsidR="001449CD">
        <w:t xml:space="preserve"> (“</w:t>
      </w:r>
      <w:r w:rsidR="000B356A">
        <w:t xml:space="preserve">the </w:t>
      </w:r>
      <w:r w:rsidR="001449CD">
        <w:t>Lienholder”)</w:t>
      </w:r>
      <w:r w:rsidR="008B2537">
        <w:t>,</w:t>
      </w:r>
      <w:r w:rsidR="001449CD">
        <w:t xml:space="preserve"> </w:t>
      </w:r>
      <w:r w:rsidR="00576205">
        <w:t>motion for valuation, and objection to</w:t>
      </w:r>
      <w:r w:rsidR="008B2537">
        <w:t xml:space="preserve"> Lienholder’s</w:t>
      </w:r>
      <w:r w:rsidR="00576205">
        <w:t xml:space="preserve"> claim </w:t>
      </w:r>
      <w:r w:rsidR="00CD6087">
        <w:t>no. ___</w:t>
      </w:r>
      <w:r w:rsidR="002D1F06">
        <w:t>.</w:t>
      </w:r>
      <w:r w:rsidR="000B356A">
        <w:t xml:space="preserve">  </w:t>
      </w:r>
    </w:p>
    <w:p w:rsidR="00576205" w:rsidRPr="00576205" w:rsidRDefault="00576205" w:rsidP="00576205">
      <w:pPr>
        <w:spacing w:after="0" w:line="480" w:lineRule="auto"/>
        <w:jc w:val="center"/>
        <w:rPr>
          <w:u w:val="single"/>
        </w:rPr>
      </w:pPr>
      <w:r w:rsidRPr="00576205">
        <w:rPr>
          <w:u w:val="single"/>
        </w:rPr>
        <w:t>Lien Avoidance</w:t>
      </w:r>
    </w:p>
    <w:p w:rsidR="001D59DE" w:rsidRDefault="000B356A" w:rsidP="00576205">
      <w:pPr>
        <w:spacing w:after="0" w:line="480" w:lineRule="auto"/>
        <w:ind w:firstLine="720"/>
      </w:pPr>
      <w:r>
        <w:t xml:space="preserve">The </w:t>
      </w:r>
      <w:r w:rsidR="00CD6087">
        <w:t>c</w:t>
      </w:r>
      <w:r>
        <w:t xml:space="preserve">ourt has reviewed the schedules filed by debtor(s) and finds that the </w:t>
      </w:r>
      <w:r w:rsidR="00844E81">
        <w:t xml:space="preserve">Lienholder’s </w:t>
      </w:r>
      <w:r>
        <w:t xml:space="preserve">security interest impairs an exemption to which the debtor(s) would otherwise </w:t>
      </w:r>
      <w:r w:rsidR="00844E81">
        <w:t xml:space="preserve">be </w:t>
      </w:r>
      <w:r>
        <w:t xml:space="preserve">entitled.  </w:t>
      </w:r>
      <w:r w:rsidR="00CD6087">
        <w:t xml:space="preserve">The </w:t>
      </w:r>
      <w:r>
        <w:t xml:space="preserve">motion is </w:t>
      </w:r>
      <w:r w:rsidR="00CD6087">
        <w:t xml:space="preserve">thus </w:t>
      </w:r>
      <w:r>
        <w:t>granted to the extent</w:t>
      </w:r>
      <w:r w:rsidR="00F82709">
        <w:t xml:space="preserve"> set out below.</w:t>
      </w:r>
      <w:r>
        <w:t xml:space="preserve">  </w:t>
      </w:r>
    </w:p>
    <w:p w:rsidR="00036CF0" w:rsidRDefault="001D59DE" w:rsidP="008B2537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The</w:t>
      </w:r>
      <w:r w:rsidR="000B356A">
        <w:t xml:space="preserve"> security interest of the L</w:t>
      </w:r>
      <w:r w:rsidR="001449CD">
        <w:t xml:space="preserve">ienholder is avoided </w:t>
      </w:r>
      <w:r w:rsidR="008B2537">
        <w:t xml:space="preserve">pursuant to Bankruptcy Code § 522(f) </w:t>
      </w:r>
      <w:r w:rsidR="001449CD">
        <w:t xml:space="preserve">as to the following items: </w:t>
      </w:r>
    </w:p>
    <w:p w:rsidR="00516D4A" w:rsidRDefault="00516D4A" w:rsidP="00516D4A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Household furnishings, wearing apparel, </w:t>
      </w:r>
      <w:r w:rsidR="00534367">
        <w:t xml:space="preserve">appliances, </w:t>
      </w:r>
      <w:r>
        <w:t xml:space="preserve">books, animals, crops, musical instruments, and jewelry held primarily for the personal, family, or household use of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4367" w:rsidRPr="00534367" w:rsidRDefault="00534367" w:rsidP="00516D4A">
      <w:pPr>
        <w:pStyle w:val="ListParagraph"/>
        <w:spacing w:after="0" w:line="240" w:lineRule="auto"/>
        <w:ind w:left="990" w:hanging="27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D4A" w:rsidRDefault="00516D4A" w:rsidP="00516D4A">
      <w:pPr>
        <w:pStyle w:val="ListParagraph"/>
        <w:spacing w:after="0" w:line="240" w:lineRule="auto"/>
      </w:pPr>
    </w:p>
    <w:p w:rsidR="008D447F" w:rsidRPr="003C069E" w:rsidRDefault="008D447F" w:rsidP="008D447F">
      <w:pPr>
        <w:spacing w:after="0" w:line="240" w:lineRule="auto"/>
        <w:ind w:left="990" w:hanging="27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Personal effects of debtor and dependents (including toys and hobby equipment of minor dependent children).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>
        <w:rPr>
          <w:u w:val="single"/>
        </w:rPr>
        <w:tab/>
      </w:r>
    </w:p>
    <w:p w:rsidR="008D447F" w:rsidRDefault="008D447F" w:rsidP="008D447F">
      <w:pPr>
        <w:spacing w:after="0" w:line="240" w:lineRule="auto"/>
        <w:ind w:left="990" w:hanging="99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7F" w:rsidRPr="00534367" w:rsidRDefault="008D447F" w:rsidP="008D447F">
      <w:pPr>
        <w:spacing w:after="0" w:line="240" w:lineRule="auto"/>
        <w:ind w:left="990" w:hanging="99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7F" w:rsidRDefault="008D447F" w:rsidP="00516D4A">
      <w:pPr>
        <w:pStyle w:val="ListParagraph"/>
        <w:spacing w:after="0" w:line="240" w:lineRule="auto"/>
      </w:pPr>
    </w:p>
    <w:p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television.  Description: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</w:pPr>
    </w:p>
    <w:p w:rsidR="00EE580D" w:rsidRPr="003C069E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lastRenderedPageBreak/>
        <w:t>□</w:t>
      </w:r>
      <w:r>
        <w:t xml:space="preserve">  1 personal computer and related equipment.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EE580D" w:rsidRDefault="003D2F63" w:rsidP="003D2F63">
      <w:pPr>
        <w:spacing w:after="0" w:line="240" w:lineRule="auto"/>
        <w:ind w:left="1080" w:hanging="1080"/>
        <w:rPr>
          <w:u w:val="single"/>
        </w:rPr>
      </w:pPr>
      <w:r>
        <w:tab/>
      </w:r>
      <w:r w:rsidR="00C83F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148E">
        <w:rPr>
          <w:u w:val="single"/>
        </w:rPr>
        <w:tab/>
      </w:r>
    </w:p>
    <w:p w:rsidR="00534367" w:rsidRPr="00534367" w:rsidRDefault="00534367" w:rsidP="003D2F63">
      <w:pPr>
        <w:spacing w:after="0" w:line="240" w:lineRule="auto"/>
        <w:ind w:left="1080" w:hanging="1080"/>
      </w:pPr>
    </w:p>
    <w:p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VCR or DVD player.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573CF" w:rsidRDefault="000573CF" w:rsidP="00C83F66">
      <w:pPr>
        <w:spacing w:after="0" w:line="240" w:lineRule="auto"/>
        <w:ind w:firstLine="720"/>
      </w:pPr>
    </w:p>
    <w:p w:rsidR="008D447F" w:rsidRDefault="008D447F" w:rsidP="008D447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Implements, professional books, or tools used by debtor(s) or dependents in their trade.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C83F66">
      <w:pPr>
        <w:spacing w:after="0" w:line="240" w:lineRule="auto"/>
        <w:ind w:firstLine="720"/>
      </w:pPr>
    </w:p>
    <w:p w:rsidR="00036CF0" w:rsidRPr="00844E81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>
        <w:t xml:space="preserve">  Clothing</w:t>
      </w:r>
      <w:r w:rsidR="00844E81">
        <w:t xml:space="preserve">.  Description:  </w:t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Furniture.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 w:rsidR="00844E81">
        <w:t xml:space="preserve">  1 radio.  Description</w:t>
      </w:r>
      <w:r>
        <w:t xml:space="preserve">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Linens, china, crockery, and kitchenware.  Description: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Pr="00327890" w:rsidRDefault="003D2F63" w:rsidP="003D2F63">
      <w:pPr>
        <w:spacing w:after="0" w:line="240" w:lineRule="auto"/>
        <w:ind w:left="1080" w:hanging="1080"/>
      </w:pPr>
      <w: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>
        <w:rPr>
          <w:u w:val="single"/>
        </w:rPr>
        <w:tab/>
      </w:r>
    </w:p>
    <w:p w:rsidR="00534367" w:rsidRDefault="00534367" w:rsidP="003D2F63">
      <w:pPr>
        <w:spacing w:after="0" w:line="240" w:lineRule="auto"/>
        <w:ind w:left="990" w:hanging="270"/>
        <w:rPr>
          <w:sz w:val="28"/>
          <w:szCs w:val="28"/>
        </w:rPr>
      </w:pPr>
    </w:p>
    <w:p w:rsidR="00036CF0" w:rsidRDefault="00036CF0" w:rsidP="003D2F63">
      <w:pPr>
        <w:spacing w:after="0" w:line="240" w:lineRule="auto"/>
        <w:ind w:left="990" w:hanging="270"/>
      </w:pPr>
      <w:r w:rsidRPr="003C069E">
        <w:rPr>
          <w:sz w:val="28"/>
          <w:szCs w:val="28"/>
        </w:rPr>
        <w:t>□</w:t>
      </w:r>
      <w:r>
        <w:t xml:space="preserve">  Educational materials and educational equipment for minor dependent children.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3D2F63">
        <w:rPr>
          <w:u w:val="single"/>
        </w:rPr>
        <w:tab/>
      </w:r>
      <w:r w:rsidR="003D2F63">
        <w:rPr>
          <w:u w:val="single"/>
        </w:rPr>
        <w:tab/>
      </w:r>
    </w:p>
    <w:p w:rsidR="004E64FF" w:rsidRDefault="004E64F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534367" w:rsidRDefault="00534367" w:rsidP="00534367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Medical equipment and supplies.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0573CF" w:rsidRDefault="000573CF" w:rsidP="000573C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Professionally prescribed health aids for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3F2ADF" w:rsidRDefault="003F2ADF" w:rsidP="003F2AD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Other.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1394" w:rsidRDefault="00471394" w:rsidP="00471394">
      <w:pPr>
        <w:pStyle w:val="ListParagraph"/>
        <w:spacing w:after="0" w:line="240" w:lineRule="auto"/>
      </w:pPr>
    </w:p>
    <w:p w:rsidR="00137D19" w:rsidRDefault="00137D19" w:rsidP="002B19F1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Upon the discharge of debtor(s) in this bankruptcy case, the security interest of</w:t>
      </w:r>
      <w:r w:rsidR="00AB67FA">
        <w:t xml:space="preserve"> the L</w:t>
      </w:r>
      <w:r>
        <w:t xml:space="preserve">ienholder shall be extinguished </w:t>
      </w:r>
      <w:r w:rsidR="00AB67FA">
        <w:t xml:space="preserve">against the above-described personal property of debtor(s) </w:t>
      </w:r>
      <w:r>
        <w:t>and shall not survive the bankruptcy or affix to or remain enforceable</w:t>
      </w:r>
      <w:r w:rsidR="00AB67FA">
        <w:t xml:space="preserve"> against said items</w:t>
      </w:r>
      <w:r>
        <w:t xml:space="preserve">.  </w:t>
      </w:r>
    </w:p>
    <w:p w:rsidR="00594888" w:rsidRDefault="00594888" w:rsidP="00AF7FBA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 xml:space="preserve">The motion to avoid lien is denied as to any item not listed above.  </w:t>
      </w:r>
    </w:p>
    <w:p w:rsidR="00576205" w:rsidRPr="002E593E" w:rsidRDefault="00576205" w:rsidP="002E593E">
      <w:pPr>
        <w:spacing w:after="0" w:line="480" w:lineRule="auto"/>
        <w:jc w:val="center"/>
        <w:rPr>
          <w:u w:val="single"/>
        </w:rPr>
      </w:pPr>
      <w:r w:rsidRPr="002E593E">
        <w:rPr>
          <w:u w:val="single"/>
        </w:rPr>
        <w:t>Valuation of Collateral</w:t>
      </w:r>
    </w:p>
    <w:p w:rsidR="00576205" w:rsidRDefault="00576205" w:rsidP="00576205">
      <w:pPr>
        <w:spacing w:after="0" w:line="480" w:lineRule="auto"/>
      </w:pPr>
      <w:r>
        <w:tab/>
        <w:t xml:space="preserve">Pursuant to Bankruptcy Code </w:t>
      </w:r>
      <w:r w:rsidR="002E593E">
        <w:t>§ 506(a) and Bankruptcy R</w:t>
      </w:r>
      <w:r>
        <w:t xml:space="preserve">ule 3012, the </w:t>
      </w:r>
      <w:r w:rsidR="00024F3E">
        <w:t>c</w:t>
      </w:r>
      <w:r w:rsidR="0041292E">
        <w:t>ourt values the L</w:t>
      </w:r>
      <w:r>
        <w:t xml:space="preserve">ienholder’s collateral as to which its security interest has not been avoided at $__________. </w:t>
      </w:r>
      <w:r w:rsidR="0041292E">
        <w:t xml:space="preserve">  </w:t>
      </w:r>
    </w:p>
    <w:p w:rsidR="008B2537" w:rsidRDefault="008B2537">
      <w:pPr>
        <w:spacing w:after="0" w:line="259" w:lineRule="auto"/>
        <w:rPr>
          <w:u w:val="single"/>
        </w:rPr>
      </w:pPr>
      <w:r>
        <w:rPr>
          <w:u w:val="single"/>
        </w:rPr>
        <w:br w:type="page"/>
      </w:r>
    </w:p>
    <w:p w:rsidR="0041292E" w:rsidRPr="0041292E" w:rsidRDefault="0041292E" w:rsidP="0041292E">
      <w:pPr>
        <w:spacing w:after="0" w:line="480" w:lineRule="auto"/>
        <w:jc w:val="center"/>
        <w:rPr>
          <w:u w:val="single"/>
        </w:rPr>
      </w:pPr>
      <w:r w:rsidRPr="0041292E">
        <w:rPr>
          <w:u w:val="single"/>
        </w:rPr>
        <w:lastRenderedPageBreak/>
        <w:t>Claim Objection</w:t>
      </w:r>
    </w:p>
    <w:p w:rsidR="0041292E" w:rsidRDefault="00024F3E" w:rsidP="00576205">
      <w:pPr>
        <w:spacing w:after="0" w:line="480" w:lineRule="auto"/>
      </w:pPr>
      <w:r>
        <w:tab/>
        <w:t>The c</w:t>
      </w:r>
      <w:r w:rsidR="0041292E">
        <w:t xml:space="preserve">ourt sustains the objection by Debtor(s) to the Lienholder’s claim no. ____ to the following extent:  </w:t>
      </w:r>
    </w:p>
    <w:p w:rsidR="002578E4" w:rsidRDefault="002578E4" w:rsidP="002578E4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The claim is allowed as secured in the amount of $___________, with any remaining amount to be treated as unsecured.  </w:t>
      </w:r>
    </w:p>
    <w:p w:rsidR="002578E4" w:rsidRDefault="002578E4" w:rsidP="002578E4">
      <w:pPr>
        <w:spacing w:after="0" w:line="240" w:lineRule="auto"/>
        <w:ind w:firstLine="720"/>
      </w:pPr>
    </w:p>
    <w:p w:rsidR="002578E4" w:rsidRDefault="002578E4" w:rsidP="002578E4">
      <w:pPr>
        <w:pStyle w:val="ListParagraph"/>
        <w:spacing w:after="0" w:line="240" w:lineRule="auto"/>
        <w:ind w:left="990" w:hanging="270"/>
      </w:pPr>
      <w:r>
        <w:rPr>
          <w:sz w:val="28"/>
          <w:szCs w:val="28"/>
        </w:rPr>
        <w:t>□</w:t>
      </w:r>
      <w:r>
        <w:t xml:space="preserve">  The claim is allowed in full but as unsecured.  </w:t>
      </w:r>
    </w:p>
    <w:p w:rsidR="002578E4" w:rsidRDefault="002578E4" w:rsidP="002578E4">
      <w:pPr>
        <w:pStyle w:val="ListParagraph"/>
        <w:spacing w:after="0" w:line="240" w:lineRule="auto"/>
        <w:ind w:left="990" w:hanging="270"/>
      </w:pPr>
    </w:p>
    <w:p w:rsidR="002578E4" w:rsidRDefault="002578E4" w:rsidP="002578E4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The claim is allowed as unsecured in the amount of $___________.  </w:t>
      </w:r>
    </w:p>
    <w:p w:rsidR="002578E4" w:rsidRDefault="002578E4" w:rsidP="002578E4">
      <w:pPr>
        <w:pStyle w:val="ListParagraph"/>
        <w:spacing w:after="0" w:line="240" w:lineRule="auto"/>
        <w:ind w:left="990" w:hanging="270"/>
        <w:rPr>
          <w:u w:val="single"/>
        </w:rPr>
      </w:pPr>
    </w:p>
    <w:p w:rsidR="002578E4" w:rsidRDefault="002578E4" w:rsidP="002578E4">
      <w:pPr>
        <w:spacing w:after="0" w:line="240" w:lineRule="auto"/>
        <w:ind w:firstLine="720"/>
      </w:pPr>
    </w:p>
    <w:p w:rsidR="0041292E" w:rsidRDefault="0041292E" w:rsidP="00576205">
      <w:pPr>
        <w:spacing w:after="0" w:line="480" w:lineRule="auto"/>
      </w:pPr>
    </w:p>
    <w:p w:rsidR="0041292E" w:rsidRDefault="0041292E" w:rsidP="00576205">
      <w:pPr>
        <w:spacing w:after="0" w:line="480" w:lineRule="auto"/>
      </w:pPr>
    </w:p>
    <w:sectPr w:rsidR="0041292E" w:rsidSect="0005766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63" w:rsidRDefault="00A01B63" w:rsidP="00A01B63">
      <w:pPr>
        <w:spacing w:after="0" w:line="240" w:lineRule="auto"/>
      </w:pPr>
      <w:r>
        <w:separator/>
      </w:r>
    </w:p>
  </w:endnote>
  <w:end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9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666" w:rsidRDefault="0005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4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666" w:rsidRDefault="000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63" w:rsidRDefault="00A01B63" w:rsidP="00A01B63">
      <w:pPr>
        <w:spacing w:after="0" w:line="240" w:lineRule="auto"/>
      </w:pPr>
      <w:r>
        <w:separator/>
      </w:r>
    </w:p>
  </w:footnote>
  <w:foot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008D"/>
    <w:multiLevelType w:val="hybridMultilevel"/>
    <w:tmpl w:val="80A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E"/>
    <w:rsid w:val="00024F3E"/>
    <w:rsid w:val="00036CF0"/>
    <w:rsid w:val="000573CF"/>
    <w:rsid w:val="00057666"/>
    <w:rsid w:val="000B356A"/>
    <w:rsid w:val="000B6F62"/>
    <w:rsid w:val="000F1775"/>
    <w:rsid w:val="000F7234"/>
    <w:rsid w:val="00137D19"/>
    <w:rsid w:val="001449CD"/>
    <w:rsid w:val="00161380"/>
    <w:rsid w:val="00196900"/>
    <w:rsid w:val="001A7A5A"/>
    <w:rsid w:val="001C6644"/>
    <w:rsid w:val="001D59DE"/>
    <w:rsid w:val="001E14FE"/>
    <w:rsid w:val="002578E4"/>
    <w:rsid w:val="002929DF"/>
    <w:rsid w:val="002B19F1"/>
    <w:rsid w:val="002D1F06"/>
    <w:rsid w:val="002E593E"/>
    <w:rsid w:val="002F7885"/>
    <w:rsid w:val="003114E7"/>
    <w:rsid w:val="00327890"/>
    <w:rsid w:val="003C069E"/>
    <w:rsid w:val="003D2F63"/>
    <w:rsid w:val="003F2ADF"/>
    <w:rsid w:val="00400192"/>
    <w:rsid w:val="0041292E"/>
    <w:rsid w:val="00424C28"/>
    <w:rsid w:val="00436AA9"/>
    <w:rsid w:val="004510EF"/>
    <w:rsid w:val="00471394"/>
    <w:rsid w:val="00474A07"/>
    <w:rsid w:val="00493B5A"/>
    <w:rsid w:val="004A39EE"/>
    <w:rsid w:val="004E64FF"/>
    <w:rsid w:val="004F02FB"/>
    <w:rsid w:val="00516D4A"/>
    <w:rsid w:val="005213CC"/>
    <w:rsid w:val="00534367"/>
    <w:rsid w:val="00553E68"/>
    <w:rsid w:val="00576205"/>
    <w:rsid w:val="00584612"/>
    <w:rsid w:val="00594888"/>
    <w:rsid w:val="00653F80"/>
    <w:rsid w:val="006731D0"/>
    <w:rsid w:val="006A1728"/>
    <w:rsid w:val="006C39C1"/>
    <w:rsid w:val="007327FB"/>
    <w:rsid w:val="00736969"/>
    <w:rsid w:val="007756E1"/>
    <w:rsid w:val="007C7B06"/>
    <w:rsid w:val="007D6795"/>
    <w:rsid w:val="007E64E3"/>
    <w:rsid w:val="008006F4"/>
    <w:rsid w:val="00844E81"/>
    <w:rsid w:val="008965DC"/>
    <w:rsid w:val="008A0EB8"/>
    <w:rsid w:val="008B2537"/>
    <w:rsid w:val="008B4FE2"/>
    <w:rsid w:val="008B519D"/>
    <w:rsid w:val="008C487A"/>
    <w:rsid w:val="008D447F"/>
    <w:rsid w:val="00906392"/>
    <w:rsid w:val="00937981"/>
    <w:rsid w:val="00947B40"/>
    <w:rsid w:val="0096148E"/>
    <w:rsid w:val="009847C0"/>
    <w:rsid w:val="00987F58"/>
    <w:rsid w:val="009A783B"/>
    <w:rsid w:val="009E43C4"/>
    <w:rsid w:val="009E4C4F"/>
    <w:rsid w:val="00A01B63"/>
    <w:rsid w:val="00A14C8C"/>
    <w:rsid w:val="00A32660"/>
    <w:rsid w:val="00A36551"/>
    <w:rsid w:val="00A74E5B"/>
    <w:rsid w:val="00A77100"/>
    <w:rsid w:val="00AA129D"/>
    <w:rsid w:val="00AB67FA"/>
    <w:rsid w:val="00B017D3"/>
    <w:rsid w:val="00B2482D"/>
    <w:rsid w:val="00B31126"/>
    <w:rsid w:val="00B37D56"/>
    <w:rsid w:val="00B416D5"/>
    <w:rsid w:val="00B450FC"/>
    <w:rsid w:val="00B7554F"/>
    <w:rsid w:val="00B81EC0"/>
    <w:rsid w:val="00BA244B"/>
    <w:rsid w:val="00BB5AFF"/>
    <w:rsid w:val="00BE73C1"/>
    <w:rsid w:val="00C83F66"/>
    <w:rsid w:val="00C87B51"/>
    <w:rsid w:val="00CB2EE6"/>
    <w:rsid w:val="00CD379B"/>
    <w:rsid w:val="00CD6087"/>
    <w:rsid w:val="00CE11FD"/>
    <w:rsid w:val="00D40F42"/>
    <w:rsid w:val="00D512E2"/>
    <w:rsid w:val="00D71624"/>
    <w:rsid w:val="00D858B7"/>
    <w:rsid w:val="00DC5AE7"/>
    <w:rsid w:val="00DE0501"/>
    <w:rsid w:val="00E16C3E"/>
    <w:rsid w:val="00EE580D"/>
    <w:rsid w:val="00F57492"/>
    <w:rsid w:val="00F766DA"/>
    <w:rsid w:val="00F82709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77B95-7B47-427E-855C-4EAB659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C604-30BB-4C58-B43D-A79D1F51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Pauline Heffernan</cp:lastModifiedBy>
  <cp:revision>2</cp:revision>
  <cp:lastPrinted>2017-10-31T16:59:00Z</cp:lastPrinted>
  <dcterms:created xsi:type="dcterms:W3CDTF">2018-03-26T21:10:00Z</dcterms:created>
  <dcterms:modified xsi:type="dcterms:W3CDTF">2018-03-26T21:10:00Z</dcterms:modified>
</cp:coreProperties>
</file>